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DB255" w14:textId="77777777" w:rsidR="007F32DF" w:rsidRPr="007F32DF" w:rsidRDefault="007F32DF" w:rsidP="007F32DF">
      <w:pPr>
        <w:autoSpaceDE w:val="0"/>
        <w:autoSpaceDN w:val="0"/>
        <w:adjustRightInd w:val="0"/>
        <w:rPr>
          <w:rFonts w:ascii="Verdana" w:eastAsiaTheme="minorHAnsi" w:hAnsi="Verdana" w:cs="Verdana"/>
          <w:color w:val="000000"/>
          <w:lang w:eastAsia="en-US"/>
        </w:rPr>
      </w:pPr>
    </w:p>
    <w:p w14:paraId="1D1F2CCA" w14:textId="77777777" w:rsidR="007F32DF" w:rsidRPr="007F32DF" w:rsidRDefault="007F32DF" w:rsidP="007F32DF">
      <w:pPr>
        <w:autoSpaceDE w:val="0"/>
        <w:autoSpaceDN w:val="0"/>
        <w:adjustRightInd w:val="0"/>
        <w:jc w:val="right"/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lang w:eastAsia="en-US"/>
        </w:rPr>
        <w:t xml:space="preserve"> </w:t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color w:val="000000"/>
          <w:lang w:eastAsia="en-US"/>
        </w:rPr>
        <w:tab/>
      </w:r>
      <w:r w:rsidRPr="007F32DF"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 xml:space="preserve">Załącznik nr 4 </w:t>
      </w:r>
    </w:p>
    <w:p w14:paraId="500606EA" w14:textId="77777777" w:rsidR="007F32DF" w:rsidRPr="007F32DF" w:rsidRDefault="007F32DF" w:rsidP="007F32DF">
      <w:pPr>
        <w:autoSpaceDE w:val="0"/>
        <w:autoSpaceDN w:val="0"/>
        <w:adjustRightInd w:val="0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12442E6E" w14:textId="77777777" w:rsidR="007F32DF" w:rsidRPr="007F32DF" w:rsidRDefault="007F32DF" w:rsidP="007F32DF">
      <w:pPr>
        <w:autoSpaceDE w:val="0"/>
        <w:autoSpaceDN w:val="0"/>
        <w:adjustRightInd w:val="0"/>
        <w:jc w:val="center"/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>WARUNKI ZAMÓWIENIA</w:t>
      </w:r>
    </w:p>
    <w:p w14:paraId="5CB5E942" w14:textId="77777777" w:rsidR="007F32DF" w:rsidRPr="007F32DF" w:rsidRDefault="007F32DF" w:rsidP="007F32DF">
      <w:pPr>
        <w:autoSpaceDE w:val="0"/>
        <w:autoSpaceDN w:val="0"/>
        <w:adjustRightInd w:val="0"/>
        <w:jc w:val="center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49C264C3" w14:textId="77777777" w:rsidR="007F32DF" w:rsidRPr="007F32DF" w:rsidRDefault="007F32DF" w:rsidP="007F32DF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 xml:space="preserve">I. Opis sposobu obliczenia ceny: </w:t>
      </w:r>
    </w:p>
    <w:p w14:paraId="41A07A3C" w14:textId="0A79B20E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Cena oferty zostanie wyliczona przez Wykonawcę w oparciu o Formularz cenowy. Wykonawca powinien określić ceny jednostkowe netto, </w:t>
      </w:r>
      <w:r w:rsidR="0031745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ceny jednostkowe brutto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, wartość brutto zgodnie ze wskazanym w Formularzu </w:t>
      </w:r>
      <w:r w:rsidR="005974B0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c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enowym (załącznik nr </w:t>
      </w:r>
      <w:r w:rsidR="0031745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3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) sposobem obliczenia oferty. </w:t>
      </w:r>
    </w:p>
    <w:p w14:paraId="447E3121" w14:textId="77777777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Wszystkie skalkulowane koszty Wykonawca zsumuje i przeniesie do Formularza Ofertowego (Załącznik nr 2).</w:t>
      </w:r>
    </w:p>
    <w:p w14:paraId="382F96F4" w14:textId="77777777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Wartości w poszczególnych pozycjach Formularza cenowego oraz cena Oferty powinna być wyrażona w złotych polskich (PLN) z dokładnością do dwóch miejsc po przecinku. </w:t>
      </w:r>
    </w:p>
    <w:p w14:paraId="14BEF1EC" w14:textId="77777777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Cena za realizację zamówienia musi zawierać wszystkie elementy kosztów wykonania przedmiotu zamówienia.</w:t>
      </w:r>
    </w:p>
    <w:p w14:paraId="7C53B80F" w14:textId="77777777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Skutki finansowe błędnego obliczenia ceny oferty wynikające z nieuwzględnienia wszystkich okoliczności, które mogą wpływać na cenę, ponosi Wykonawca.</w:t>
      </w:r>
    </w:p>
    <w:p w14:paraId="32C902AC" w14:textId="77777777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Zamawiający zastrzega sobie prawo wezwania do wyjaśnienia ceny złożonej oferty, jeżeli będzie ona wzbudzała wątpliwość (w szczególności w przypadku, gdy będzie wzbudzało </w:t>
      </w:r>
      <w:proofErr w:type="gramStart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wątpliwość,</w:t>
      </w:r>
      <w:proofErr w:type="gramEnd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czy Wykonawca ujął w oferowanej cenie wszystkie wymagane przez Zamawiającego elementy przedmiotu zamówienia).</w:t>
      </w:r>
    </w:p>
    <w:p w14:paraId="647857A0" w14:textId="77777777" w:rsidR="007F32DF" w:rsidRPr="007F32DF" w:rsidRDefault="007F32DF" w:rsidP="007F32DF">
      <w:pPr>
        <w:numPr>
          <w:ilvl w:val="0"/>
          <w:numId w:val="12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Zamawiający zastrzega sobie prawo dalszego nierozpatrywania oferty w szczególności 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br/>
        <w:t xml:space="preserve">w przypadku, gdy Wykonawca nie odpowie na wezwanie Zamawiającego lub nie przedstawi wyjaśnień pozwalających uznać zaproponowaną cenę za rzetelną, za którą Wykonawca będzie w stanie zrealizować zamówienie. </w:t>
      </w:r>
    </w:p>
    <w:p w14:paraId="77C6787A" w14:textId="77777777" w:rsidR="007F32DF" w:rsidRPr="007F32DF" w:rsidRDefault="007F32DF" w:rsidP="007F32DF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1408DAFB" w14:textId="77777777" w:rsidR="007F32DF" w:rsidRPr="007F32DF" w:rsidRDefault="007F32DF" w:rsidP="007F32DF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>II.</w:t>
      </w:r>
      <w:r w:rsidRPr="007F32DF"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ab/>
        <w:t>Wyjaśnienia treści ogłoszenia:</w:t>
      </w:r>
    </w:p>
    <w:p w14:paraId="32C58FFF" w14:textId="77777777" w:rsidR="007F32DF" w:rsidRPr="007F32DF" w:rsidRDefault="007F32DF" w:rsidP="007F32DF">
      <w:pPr>
        <w:numPr>
          <w:ilvl w:val="0"/>
          <w:numId w:val="11"/>
        </w:numPr>
        <w:spacing w:before="120" w:after="160" w:line="360" w:lineRule="auto"/>
        <w:contextualSpacing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 xml:space="preserve">Wykonawca może zwrócić się do Zamawiającego o wyjaśnienie treści </w:t>
      </w:r>
      <w:proofErr w:type="gramStart"/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>ogłoszenia,  kierując</w:t>
      </w:r>
      <w:proofErr w:type="gramEnd"/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 xml:space="preserve"> wniosek na adres e-mail: </w:t>
      </w:r>
      <w:hyperlink r:id="rId5" w:history="1">
        <w:r w:rsidRPr="007F32DF">
          <w:rPr>
            <w:rFonts w:ascii="Verdana" w:eastAsiaTheme="minorHAnsi" w:hAnsi="Verdana" w:cstheme="minorBidi"/>
            <w:color w:val="0563C1" w:themeColor="hyperlink"/>
            <w:sz w:val="20"/>
            <w:szCs w:val="20"/>
            <w:u w:val="single"/>
            <w:lang w:eastAsia="en-US"/>
          </w:rPr>
          <w:t>sekretariatkatowice@gddkia.gov.pl</w:t>
        </w:r>
      </w:hyperlink>
    </w:p>
    <w:p w14:paraId="6032080B" w14:textId="5B7240BC" w:rsidR="007F32DF" w:rsidRPr="007F32DF" w:rsidRDefault="007F32DF" w:rsidP="007F32DF">
      <w:pPr>
        <w:numPr>
          <w:ilvl w:val="0"/>
          <w:numId w:val="11"/>
        </w:numPr>
        <w:spacing w:before="120" w:after="160" w:line="360" w:lineRule="auto"/>
        <w:contextualSpacing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>Zamawiający udzieli wyjaśnień niezwłocznie pod warunkiem, że wniosek</w:t>
      </w:r>
      <w:r w:rsidR="001A7D7E">
        <w:rPr>
          <w:rFonts w:ascii="Verdana" w:eastAsiaTheme="minorHAnsi" w:hAnsi="Verdana" w:cstheme="minorBidi"/>
          <w:sz w:val="20"/>
          <w:szCs w:val="20"/>
          <w:lang w:eastAsia="en-US"/>
        </w:rPr>
        <w:t xml:space="preserve"> </w:t>
      </w:r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>o wyjaśnienie treści ogłoszenia wpłynął do Zamawiającego nie później niż na 3 dni przed upływem terminu składania ofert.</w:t>
      </w:r>
    </w:p>
    <w:p w14:paraId="7A6B891A" w14:textId="16BD5FEB" w:rsidR="007F32DF" w:rsidRPr="007F32DF" w:rsidRDefault="007F32DF" w:rsidP="007F32DF">
      <w:pPr>
        <w:numPr>
          <w:ilvl w:val="0"/>
          <w:numId w:val="11"/>
        </w:numPr>
        <w:spacing w:before="120" w:after="160" w:line="360" w:lineRule="auto"/>
        <w:contextualSpacing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 xml:space="preserve">Jeżeli wniosek zawierający zapytania do treści Ogłoszenia wpłynął po upływie terminu, 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br/>
      </w:r>
      <w:r w:rsidRPr="007F32DF">
        <w:rPr>
          <w:rFonts w:ascii="Verdana" w:eastAsiaTheme="minorHAnsi" w:hAnsi="Verdana" w:cstheme="minorBidi"/>
          <w:sz w:val="20"/>
          <w:szCs w:val="20"/>
          <w:lang w:eastAsia="en-US"/>
        </w:rPr>
        <w:t>o którym mowa w pkt II.2 Ogłoszenia lub dotyczy już udzielonych wyjaśnień, Zamawiający może pozostawić wniosek bez rozpoznania.</w:t>
      </w:r>
    </w:p>
    <w:p w14:paraId="0A7794FF" w14:textId="77777777" w:rsidR="007F32DF" w:rsidRPr="007F32DF" w:rsidRDefault="007F32DF" w:rsidP="007F32DF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>III.</w:t>
      </w:r>
      <w:r w:rsidRPr="007F32DF"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ab/>
        <w:t>Pozostałe zasady postępowania:</w:t>
      </w:r>
    </w:p>
    <w:p w14:paraId="289BB981" w14:textId="77777777" w:rsidR="007F32DF" w:rsidRPr="007F32DF" w:rsidRDefault="007F32DF" w:rsidP="007F32DF">
      <w:pPr>
        <w:numPr>
          <w:ilvl w:val="0"/>
          <w:numId w:val="13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Zamawiający nie dopuszcza składania ofert częściowych.</w:t>
      </w:r>
    </w:p>
    <w:p w14:paraId="79284C8C" w14:textId="77777777" w:rsidR="007F32DF" w:rsidRPr="007F32DF" w:rsidRDefault="007F32DF" w:rsidP="007F32DF">
      <w:pPr>
        <w:numPr>
          <w:ilvl w:val="0"/>
          <w:numId w:val="13"/>
        </w:numPr>
        <w:autoSpaceDE w:val="0"/>
        <w:autoSpaceDN w:val="0"/>
        <w:adjustRightInd w:val="0"/>
        <w:spacing w:after="160" w:line="280" w:lineRule="atLeast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Zamawiający odrzuci ofertę </w:t>
      </w:r>
      <w:proofErr w:type="gramStart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Wykonawcy</w:t>
      </w:r>
      <w:proofErr w:type="gramEnd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jeżeli:</w:t>
      </w:r>
    </w:p>
    <w:p w14:paraId="1A0D8A07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Wykonawca złożył więcej niż jedną ofertę,</w:t>
      </w:r>
    </w:p>
    <w:p w14:paraId="1474E911" w14:textId="2CFFF464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lastRenderedPageBreak/>
        <w:t xml:space="preserve">Wykonawca nie złożył Formularza ofertowego i/lub Formularza </w:t>
      </w:r>
      <w:proofErr w:type="gramStart"/>
      <w:r w:rsidR="005B11EC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cenowego 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i</w:t>
      </w:r>
      <w:proofErr w:type="gramEnd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/lub nie uzupełnił dokumentów i/lub nie złożył wyjaśnień,</w:t>
      </w:r>
    </w:p>
    <w:p w14:paraId="641DDF54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Oferta została złożona po terminie składania ofert,</w:t>
      </w:r>
    </w:p>
    <w:p w14:paraId="690D9585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Treść oferty jest niezgodna z warunkami zamówienia określonymi w szczególności w ogłoszeniu lub w opisie przedmiotu zamówienia,</w:t>
      </w:r>
    </w:p>
    <w:p w14:paraId="492E00C2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Zawiera błędy w obliczeniu ceny lub jeśli Wykonawca nie odpowie na wezwanie Zamawiającego, o którym mowa powyżej w pkt I ppkt. 7 lub nie przedstawi wyjaśnień pozwalających uznać zaproponowaną cenę za rzetelną, za którą Wykonawca będzie w stanie zrealizować zamówienie,</w:t>
      </w:r>
    </w:p>
    <w:p w14:paraId="04DFEC78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Jeżeli złożone wyjaśnienia nie uzasadniają podanej w ofercie ceny,</w:t>
      </w:r>
    </w:p>
    <w:p w14:paraId="1D7F70D7" w14:textId="77777777" w:rsid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1B6AD031" w14:textId="07AADD2B" w:rsidR="005B11EC" w:rsidRPr="007F32DF" w:rsidRDefault="005B11EC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Wykonawca złożył niepodpisaną ofertę. </w:t>
      </w:r>
    </w:p>
    <w:p w14:paraId="3D18B941" w14:textId="77777777" w:rsidR="007F32DF" w:rsidRPr="007F32DF" w:rsidRDefault="007F32DF" w:rsidP="007F32DF">
      <w:pPr>
        <w:numPr>
          <w:ilvl w:val="0"/>
          <w:numId w:val="13"/>
        </w:numPr>
        <w:autoSpaceDE w:val="0"/>
        <w:autoSpaceDN w:val="0"/>
        <w:adjustRightInd w:val="0"/>
        <w:spacing w:after="160" w:line="280" w:lineRule="atLeast"/>
        <w:ind w:left="567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Ponadto Zamawiający zastrzega sobie prawo:</w:t>
      </w:r>
    </w:p>
    <w:p w14:paraId="7887C196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Wezwania do uzupełnienia dokumentów i/lub wyjaśnień treści złożonej oferty.</w:t>
      </w:r>
    </w:p>
    <w:p w14:paraId="0B1A8291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Jeżeli nie można wybrać najkorzystniejszej oferty z uwagi na to, że dwie lub więcej ofert przedstawia taki sam bilans ceny (i innych kryteriów oceny </w:t>
      </w:r>
      <w:proofErr w:type="gramStart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ofert</w:t>
      </w:r>
      <w:proofErr w:type="gramEnd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130FBDE2" w14:textId="77777777" w:rsidR="007F32DF" w:rsidRPr="007F32DF" w:rsidRDefault="007F32DF" w:rsidP="007F32DF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Poprawienia oczywistych omyłek pisarskich.</w:t>
      </w:r>
    </w:p>
    <w:p w14:paraId="5DF44C55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Poprawienia oczywistych omyłek rachunkowych, z uwzględnieniem konsekwencji rachunkowych dokonanych poprawek.</w:t>
      </w:r>
    </w:p>
    <w:p w14:paraId="002152CB" w14:textId="77777777" w:rsidR="007F32DF" w:rsidRPr="007F32DF" w:rsidRDefault="007F32DF" w:rsidP="007F32DF">
      <w:pPr>
        <w:numPr>
          <w:ilvl w:val="1"/>
          <w:numId w:val="13"/>
        </w:numPr>
        <w:autoSpaceDE w:val="0"/>
        <w:autoSpaceDN w:val="0"/>
        <w:adjustRightInd w:val="0"/>
        <w:spacing w:after="160" w:line="280" w:lineRule="atLeast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unieważnienia postępowania, w </w:t>
      </w:r>
      <w:proofErr w:type="gramStart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szczególności</w:t>
      </w:r>
      <w:proofErr w:type="gramEnd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gdy:</w:t>
      </w:r>
    </w:p>
    <w:p w14:paraId="1971D72B" w14:textId="77777777" w:rsidR="007F32DF" w:rsidRPr="007F32DF" w:rsidRDefault="007F32DF" w:rsidP="007F32DF">
      <w:pPr>
        <w:numPr>
          <w:ilvl w:val="1"/>
          <w:numId w:val="14"/>
        </w:numPr>
        <w:autoSpaceDE w:val="0"/>
        <w:autoSpaceDN w:val="0"/>
        <w:adjustRightInd w:val="0"/>
        <w:spacing w:after="160" w:line="280" w:lineRule="atLeast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nie złożono żadnej oferty;</w:t>
      </w:r>
    </w:p>
    <w:p w14:paraId="3F58408C" w14:textId="77777777" w:rsidR="007F32DF" w:rsidRPr="007F32DF" w:rsidRDefault="007F32DF" w:rsidP="007F32DF">
      <w:pPr>
        <w:numPr>
          <w:ilvl w:val="1"/>
          <w:numId w:val="14"/>
        </w:numPr>
        <w:autoSpaceDE w:val="0"/>
        <w:autoSpaceDN w:val="0"/>
        <w:adjustRightInd w:val="0"/>
        <w:spacing w:after="160" w:line="280" w:lineRule="atLeast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wystąpiła istotna zmiana okoliczności powodująca, że prowadzenie postępowania lub wykonanie zamówienia nie leży w interesie publicznym;</w:t>
      </w:r>
    </w:p>
    <w:p w14:paraId="37B11E59" w14:textId="77777777" w:rsidR="007F32DF" w:rsidRPr="007F32DF" w:rsidRDefault="007F32DF" w:rsidP="007F32DF">
      <w:pPr>
        <w:numPr>
          <w:ilvl w:val="1"/>
          <w:numId w:val="14"/>
        </w:numPr>
        <w:autoSpaceDE w:val="0"/>
        <w:autoSpaceDN w:val="0"/>
        <w:adjustRightInd w:val="0"/>
        <w:spacing w:after="160" w:line="280" w:lineRule="atLeast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postępowanie obarczone jest niemożliwą do usunięcia wadą uniemożliwiającą zawarcie niepodlegającej unieważnieniu umowy w sprawie zamówienia publicznego;</w:t>
      </w:r>
    </w:p>
    <w:p w14:paraId="20E60012" w14:textId="77777777" w:rsidR="007F32DF" w:rsidRPr="007F32DF" w:rsidRDefault="007F32DF" w:rsidP="007F32DF">
      <w:pPr>
        <w:numPr>
          <w:ilvl w:val="1"/>
          <w:numId w:val="14"/>
        </w:numPr>
        <w:autoSpaceDE w:val="0"/>
        <w:autoSpaceDN w:val="0"/>
        <w:adjustRightInd w:val="0"/>
        <w:spacing w:after="160" w:line="280" w:lineRule="atLeast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gdy zostały złożone oferty dodatkowe o takiej samej cenie.</w:t>
      </w:r>
    </w:p>
    <w:p w14:paraId="329D6DCF" w14:textId="6C314DF4" w:rsidR="007F32DF" w:rsidRDefault="007F32DF" w:rsidP="007F32DF">
      <w:pPr>
        <w:numPr>
          <w:ilvl w:val="0"/>
          <w:numId w:val="13"/>
        </w:numPr>
        <w:autoSpaceDE w:val="0"/>
        <w:autoSpaceDN w:val="0"/>
        <w:adjustRightInd w:val="0"/>
        <w:spacing w:after="160" w:line="280" w:lineRule="atLeast"/>
        <w:ind w:left="567" w:hanging="357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Z postępowania o udzielenie zamówienia wyklucza się Wykonawcę, w </w:t>
      </w:r>
      <w:proofErr w:type="gramStart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stosunku</w:t>
      </w:r>
      <w:proofErr w:type="gramEnd"/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do którego zachodzi którakolwiek z okoliczności, o których mowa w art. 7 ust. 1 w zw. z ust. 9 ustawy z dnia 13 kwietnia 2022 r. o szczególnych rozwiązaniach w zakresie przeciwdziałania wspieraniu agresji na Ukrainę oraz służących ochronie bezpieczeństwa narodowego (D</w:t>
      </w:r>
      <w:r w:rsidR="001A7D7E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z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.U. </w:t>
      </w:r>
      <w:r w:rsidR="001A7D7E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z 2025 r. poz. 514</w:t>
      </w:r>
      <w:r w:rsidRPr="007F32DF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)</w:t>
      </w:r>
      <w:r w:rsidR="00361755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.</w:t>
      </w:r>
    </w:p>
    <w:p w14:paraId="14E01DE9" w14:textId="1E5A2C0D" w:rsidR="00361755" w:rsidRPr="00361755" w:rsidRDefault="00361755" w:rsidP="00361755">
      <w:pPr>
        <w:pStyle w:val="Akapitzlist"/>
        <w:numPr>
          <w:ilvl w:val="0"/>
          <w:numId w:val="13"/>
        </w:numPr>
        <w:jc w:val="both"/>
        <w:rPr>
          <w:rFonts w:ascii="Verdana" w:hAnsi="Verdana"/>
          <w:bCs/>
          <w:iCs/>
          <w:sz w:val="20"/>
          <w:szCs w:val="20"/>
          <w:u w:val="single"/>
        </w:rPr>
      </w:pPr>
      <w:r w:rsidRPr="00361755">
        <w:rPr>
          <w:rFonts w:ascii="Verdana" w:hAnsi="Verdana"/>
          <w:sz w:val="20"/>
          <w:szCs w:val="20"/>
        </w:rPr>
        <w:lastRenderedPageBreak/>
        <w:t xml:space="preserve">Realizując obowiązek, o którym mowa w art. 24 ust. 6 ustawy z dnia 14 czerwca 2024 r. </w:t>
      </w:r>
      <w:r w:rsidRPr="00361755">
        <w:rPr>
          <w:rFonts w:ascii="Verdana" w:hAnsi="Verdana"/>
          <w:sz w:val="20"/>
          <w:szCs w:val="20"/>
        </w:rPr>
        <w:br/>
        <w:t>o ochronie sygnalistów (Dz. U. 2024 poz. 928), informujemy, że w Generalnej Dyrekcj</w:t>
      </w:r>
      <w:r w:rsidR="001A7D7E">
        <w:rPr>
          <w:rFonts w:ascii="Verdana" w:hAnsi="Verdana"/>
          <w:sz w:val="20"/>
          <w:szCs w:val="20"/>
        </w:rPr>
        <w:t>i</w:t>
      </w:r>
      <w:r w:rsidRPr="00361755">
        <w:rPr>
          <w:rFonts w:ascii="Verdana" w:hAnsi="Verdana"/>
          <w:sz w:val="20"/>
          <w:szCs w:val="20"/>
        </w:rPr>
        <w:t xml:space="preserve">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„Załatw </w:t>
      </w:r>
      <w:proofErr w:type="gramStart"/>
      <w:r w:rsidRPr="00361755">
        <w:rPr>
          <w:rFonts w:ascii="Verdana" w:hAnsi="Verdana"/>
          <w:sz w:val="20"/>
          <w:szCs w:val="20"/>
        </w:rPr>
        <w:t>sprawę”-</w:t>
      </w:r>
      <w:proofErr w:type="gramEnd"/>
      <w:r w:rsidRPr="00361755">
        <w:rPr>
          <w:rFonts w:ascii="Verdana" w:hAnsi="Verdana"/>
          <w:sz w:val="20"/>
          <w:szCs w:val="20"/>
        </w:rPr>
        <w:t xml:space="preserve"> procedura zgłoszeń wewnętrznych.</w:t>
      </w:r>
    </w:p>
    <w:p w14:paraId="5127F48A" w14:textId="33C482F1" w:rsidR="00361755" w:rsidRPr="007F32DF" w:rsidRDefault="00361755" w:rsidP="00361755">
      <w:pPr>
        <w:autoSpaceDE w:val="0"/>
        <w:autoSpaceDN w:val="0"/>
        <w:adjustRightInd w:val="0"/>
        <w:spacing w:after="160" w:line="280" w:lineRule="atLeast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5C8A6BAC" w14:textId="77777777" w:rsidR="007F32DF" w:rsidRPr="007F32DF" w:rsidRDefault="007F32DF" w:rsidP="007F32DF">
      <w:pPr>
        <w:autoSpaceDE w:val="0"/>
        <w:autoSpaceDN w:val="0"/>
        <w:adjustRightInd w:val="0"/>
        <w:spacing w:after="160" w:line="280" w:lineRule="atLeast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386C6950" w14:textId="712F4317" w:rsidR="00ED3F9B" w:rsidRPr="007F32DF" w:rsidRDefault="00ED3F9B" w:rsidP="007F32DF"/>
    <w:sectPr w:rsidR="00ED3F9B" w:rsidRPr="007F32DF" w:rsidSect="007F32DF">
      <w:pgSz w:w="11906" w:h="16838" w:code="9"/>
      <w:pgMar w:top="1276" w:right="978" w:bottom="1417" w:left="122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85281"/>
    <w:multiLevelType w:val="hybridMultilevel"/>
    <w:tmpl w:val="E22C3A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344E6"/>
    <w:multiLevelType w:val="multilevel"/>
    <w:tmpl w:val="A3C8A81C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B702C2F"/>
    <w:multiLevelType w:val="hybridMultilevel"/>
    <w:tmpl w:val="62ACD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E7343"/>
    <w:multiLevelType w:val="hybridMultilevel"/>
    <w:tmpl w:val="5FA494E2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32720C1C"/>
    <w:multiLevelType w:val="multilevel"/>
    <w:tmpl w:val="408A46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09131F"/>
    <w:multiLevelType w:val="multilevel"/>
    <w:tmpl w:val="5D3C2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032D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FB02C68"/>
    <w:multiLevelType w:val="multilevel"/>
    <w:tmpl w:val="408A46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0B5390B"/>
    <w:multiLevelType w:val="hybridMultilevel"/>
    <w:tmpl w:val="8EB2E740"/>
    <w:lvl w:ilvl="0" w:tplc="D45662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7D883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161655"/>
    <w:multiLevelType w:val="multilevel"/>
    <w:tmpl w:val="E314210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1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0" w15:restartNumberingAfterBreak="0">
    <w:nsid w:val="71E53B18"/>
    <w:multiLevelType w:val="multilevel"/>
    <w:tmpl w:val="ADB47A86"/>
    <w:lvl w:ilvl="0">
      <w:start w:val="1"/>
      <w:numFmt w:val="decimal"/>
      <w:lvlText w:val="%1."/>
      <w:lvlJc w:val="left"/>
      <w:pPr>
        <w:ind w:left="1632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8934" w:hanging="432"/>
      </w:pPr>
      <w:rPr>
        <w:color w:val="auto"/>
      </w:rPr>
    </w:lvl>
    <w:lvl w:ilvl="2">
      <w:start w:val="1"/>
      <w:numFmt w:val="bullet"/>
      <w:lvlText w:val=""/>
      <w:lvlJc w:val="left"/>
      <w:pPr>
        <w:ind w:left="3907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3000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3504" w:hanging="792"/>
      </w:pPr>
    </w:lvl>
    <w:lvl w:ilvl="5">
      <w:start w:val="1"/>
      <w:numFmt w:val="decimal"/>
      <w:lvlText w:val="%1.%2.%3.%4.%5.%6."/>
      <w:lvlJc w:val="left"/>
      <w:pPr>
        <w:ind w:left="4008" w:hanging="936"/>
      </w:pPr>
    </w:lvl>
    <w:lvl w:ilvl="6">
      <w:start w:val="1"/>
      <w:numFmt w:val="decimal"/>
      <w:lvlText w:val="%1.%2.%3.%4.%5.%6.%7."/>
      <w:lvlJc w:val="left"/>
      <w:pPr>
        <w:ind w:left="4512" w:hanging="1080"/>
      </w:pPr>
    </w:lvl>
    <w:lvl w:ilvl="7">
      <w:start w:val="1"/>
      <w:numFmt w:val="decimal"/>
      <w:lvlText w:val="%1.%2.%3.%4.%5.%6.%7.%8."/>
      <w:lvlJc w:val="left"/>
      <w:pPr>
        <w:ind w:left="5016" w:hanging="1224"/>
      </w:pPr>
    </w:lvl>
    <w:lvl w:ilvl="8">
      <w:start w:val="1"/>
      <w:numFmt w:val="decimal"/>
      <w:lvlText w:val="%1.%2.%3.%4.%5.%6.%7.%8.%9."/>
      <w:lvlJc w:val="left"/>
      <w:pPr>
        <w:ind w:left="5592" w:hanging="1440"/>
      </w:pPr>
    </w:lvl>
  </w:abstractNum>
  <w:abstractNum w:abstractNumId="11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76EB0"/>
    <w:multiLevelType w:val="multilevel"/>
    <w:tmpl w:val="A85EAE6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9382181">
    <w:abstractNumId w:val="1"/>
  </w:num>
  <w:num w:numId="2" w16cid:durableId="114372472">
    <w:abstractNumId w:val="10"/>
  </w:num>
  <w:num w:numId="3" w16cid:durableId="968556884">
    <w:abstractNumId w:val="12"/>
  </w:num>
  <w:num w:numId="4" w16cid:durableId="1381321090">
    <w:abstractNumId w:val="7"/>
  </w:num>
  <w:num w:numId="5" w16cid:durableId="235016124">
    <w:abstractNumId w:val="4"/>
  </w:num>
  <w:num w:numId="6" w16cid:durableId="1054894538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1767282">
    <w:abstractNumId w:val="8"/>
  </w:num>
  <w:num w:numId="8" w16cid:durableId="1662853954">
    <w:abstractNumId w:val="2"/>
  </w:num>
  <w:num w:numId="9" w16cid:durableId="33389164">
    <w:abstractNumId w:val="0"/>
  </w:num>
  <w:num w:numId="10" w16cid:durableId="524948430">
    <w:abstractNumId w:val="9"/>
  </w:num>
  <w:num w:numId="11" w16cid:durableId="1282568677">
    <w:abstractNumId w:val="11"/>
  </w:num>
  <w:num w:numId="12" w16cid:durableId="985207531">
    <w:abstractNumId w:val="3"/>
  </w:num>
  <w:num w:numId="13" w16cid:durableId="2002467012">
    <w:abstractNumId w:val="6"/>
  </w:num>
  <w:num w:numId="14" w16cid:durableId="17615627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180"/>
    <w:rsid w:val="0000044A"/>
    <w:rsid w:val="00031F3D"/>
    <w:rsid w:val="0014742A"/>
    <w:rsid w:val="0015222E"/>
    <w:rsid w:val="001A7D7E"/>
    <w:rsid w:val="00205A39"/>
    <w:rsid w:val="0023628B"/>
    <w:rsid w:val="002A6646"/>
    <w:rsid w:val="002C61FE"/>
    <w:rsid w:val="00317451"/>
    <w:rsid w:val="00361755"/>
    <w:rsid w:val="00384335"/>
    <w:rsid w:val="00446518"/>
    <w:rsid w:val="004A1987"/>
    <w:rsid w:val="004C24D9"/>
    <w:rsid w:val="004D1751"/>
    <w:rsid w:val="0057109B"/>
    <w:rsid w:val="00574719"/>
    <w:rsid w:val="00584DBC"/>
    <w:rsid w:val="005974B0"/>
    <w:rsid w:val="005B11EC"/>
    <w:rsid w:val="006374CB"/>
    <w:rsid w:val="00655B2D"/>
    <w:rsid w:val="00704E11"/>
    <w:rsid w:val="0075346C"/>
    <w:rsid w:val="0077452E"/>
    <w:rsid w:val="007772FD"/>
    <w:rsid w:val="007F32DF"/>
    <w:rsid w:val="00806E25"/>
    <w:rsid w:val="008D0772"/>
    <w:rsid w:val="008E164C"/>
    <w:rsid w:val="00907640"/>
    <w:rsid w:val="00947B40"/>
    <w:rsid w:val="00962056"/>
    <w:rsid w:val="00A56507"/>
    <w:rsid w:val="00AB6416"/>
    <w:rsid w:val="00AF71D9"/>
    <w:rsid w:val="00B33EB8"/>
    <w:rsid w:val="00B63602"/>
    <w:rsid w:val="00BD0D9E"/>
    <w:rsid w:val="00C05642"/>
    <w:rsid w:val="00C47D69"/>
    <w:rsid w:val="00CD30D8"/>
    <w:rsid w:val="00CE7A1E"/>
    <w:rsid w:val="00D40551"/>
    <w:rsid w:val="00D67138"/>
    <w:rsid w:val="00DD323D"/>
    <w:rsid w:val="00E112A1"/>
    <w:rsid w:val="00E5119A"/>
    <w:rsid w:val="00E53180"/>
    <w:rsid w:val="00ED3F9B"/>
    <w:rsid w:val="00ED4EBF"/>
    <w:rsid w:val="00F0618C"/>
    <w:rsid w:val="00F3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AEE30"/>
  <w15:chartTrackingRefBased/>
  <w15:docId w15:val="{689D12B9-BEFF-4215-B6C2-32DF6E69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318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5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51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katowice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Anna</dc:creator>
  <cp:keywords/>
  <dc:description/>
  <cp:lastModifiedBy>Drażyk Jacek</cp:lastModifiedBy>
  <cp:revision>2</cp:revision>
  <cp:lastPrinted>2025-02-25T11:56:00Z</cp:lastPrinted>
  <dcterms:created xsi:type="dcterms:W3CDTF">2026-01-23T13:19:00Z</dcterms:created>
  <dcterms:modified xsi:type="dcterms:W3CDTF">2026-01-23T13:19:00Z</dcterms:modified>
</cp:coreProperties>
</file>